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602" w:rsidRPr="00A10219" w:rsidRDefault="00EB6602" w:rsidP="00EB6602">
      <w:pPr>
        <w:spacing w:line="480" w:lineRule="auto"/>
        <w:jc w:val="center"/>
        <w:rPr>
          <w:b/>
        </w:rPr>
      </w:pPr>
    </w:p>
    <w:p w:rsidR="00F01522" w:rsidRDefault="00F01522" w:rsidP="00F01522">
      <w:pPr>
        <w:pStyle w:val="Standard"/>
        <w:spacing w:after="0" w:line="480" w:lineRule="auto"/>
        <w:jc w:val="center"/>
      </w:pPr>
      <w:r>
        <w:rPr>
          <w:rFonts w:ascii="Times New Roman" w:eastAsia="Times New Roman" w:hAnsi="Times New Roman" w:cs="Times New Roman"/>
          <w:b/>
          <w:sz w:val="24"/>
          <w:szCs w:val="24"/>
          <w:lang w:val="es-AR" w:eastAsia="es-ES"/>
        </w:rPr>
        <w:t>DECLARACIÓN JURADA</w:t>
      </w:r>
    </w:p>
    <w:p w:rsidR="00F01522" w:rsidRDefault="00F01522" w:rsidP="00F01522">
      <w:pPr>
        <w:pStyle w:val="Standard"/>
        <w:spacing w:after="0" w:line="480" w:lineRule="auto"/>
        <w:jc w:val="center"/>
        <w:rPr>
          <w:rFonts w:ascii="Times New Roman" w:eastAsia="Times New Roman" w:hAnsi="Times New Roman" w:cs="Times New Roman"/>
          <w:b/>
          <w:sz w:val="24"/>
          <w:szCs w:val="24"/>
          <w:lang w:val="es-AR" w:eastAsia="es-ES"/>
        </w:rPr>
      </w:pPr>
    </w:p>
    <w:p w:rsidR="00567F88" w:rsidRDefault="00567F88" w:rsidP="00567F88">
      <w:pPr>
        <w:spacing w:line="480" w:lineRule="auto"/>
        <w:jc w:val="both"/>
        <w:rPr>
          <w:i/>
        </w:rPr>
      </w:pPr>
      <w:r>
        <w:t xml:space="preserve">Sra. Directora General del </w:t>
      </w:r>
      <w:proofErr w:type="spellStart"/>
      <w:r>
        <w:rPr>
          <w:i/>
        </w:rPr>
        <w:t>FONCyT</w:t>
      </w:r>
      <w:proofErr w:type="spellEnd"/>
    </w:p>
    <w:p w:rsidR="00567F88" w:rsidRDefault="00567F88" w:rsidP="00567F88">
      <w:pPr>
        <w:spacing w:line="480" w:lineRule="auto"/>
        <w:jc w:val="both"/>
      </w:pPr>
      <w:r>
        <w:t xml:space="preserve">Dra. Marisa </w:t>
      </w:r>
      <w:proofErr w:type="spellStart"/>
      <w:r>
        <w:t>Censabella</w:t>
      </w:r>
      <w:proofErr w:type="spellEnd"/>
      <w:r>
        <w:t>.</w:t>
      </w:r>
    </w:p>
    <w:p w:rsidR="00567F88" w:rsidRDefault="00567F88" w:rsidP="00567F88">
      <w:pPr>
        <w:spacing w:line="480" w:lineRule="auto"/>
        <w:jc w:val="both"/>
      </w:pPr>
      <w:r>
        <w:t>S/D</w:t>
      </w:r>
      <w:bookmarkStart w:id="0" w:name="_GoBack"/>
      <w:bookmarkEnd w:id="0"/>
    </w:p>
    <w:p w:rsidR="00F01522" w:rsidRDefault="00F01522" w:rsidP="00F01522">
      <w:pPr>
        <w:pStyle w:val="Standard"/>
        <w:spacing w:after="0" w:line="480" w:lineRule="auto"/>
        <w:rPr>
          <w:rFonts w:ascii="Times New Roman" w:eastAsia="Times New Roman" w:hAnsi="Times New Roman" w:cs="Times New Roman"/>
          <w:sz w:val="24"/>
          <w:szCs w:val="24"/>
          <w:lang w:val="es-AR" w:eastAsia="es-ES"/>
        </w:rPr>
      </w:pPr>
    </w:p>
    <w:p w:rsidR="00F01522" w:rsidRPr="00680737" w:rsidRDefault="00F01522" w:rsidP="00F01522">
      <w:pPr>
        <w:pStyle w:val="Standard"/>
        <w:spacing w:after="0" w:line="360" w:lineRule="auto"/>
        <w:rPr>
          <w:rFonts w:ascii="Times New Roman" w:hAnsi="Times New Roman" w:cs="Times New Roman"/>
          <w:sz w:val="24"/>
          <w:szCs w:val="24"/>
        </w:rPr>
      </w:pPr>
      <w:r w:rsidRPr="00680737">
        <w:rPr>
          <w:rFonts w:ascii="Times New Roman" w:hAnsi="Times New Roman" w:cs="Times New Roman"/>
          <w:b/>
          <w:sz w:val="24"/>
          <w:szCs w:val="24"/>
        </w:rPr>
        <w:t>Carolina Bianchi</w:t>
      </w:r>
      <w:r w:rsidRPr="00680737">
        <w:rPr>
          <w:rFonts w:ascii="Times New Roman" w:eastAsia="Times New Roman" w:hAnsi="Times New Roman" w:cs="Times New Roman"/>
          <w:sz w:val="24"/>
          <w:szCs w:val="24"/>
          <w:lang w:val="es-AR" w:eastAsia="es-ES"/>
        </w:rPr>
        <w:t xml:space="preserve"> en mi carácter de Investigador Responsable del Proyecto Nº</w:t>
      </w:r>
      <w:r w:rsidRPr="00680737">
        <w:rPr>
          <w:rFonts w:ascii="Times New Roman" w:hAnsi="Times New Roman" w:cs="Times New Roman"/>
          <w:b/>
          <w:sz w:val="24"/>
          <w:szCs w:val="24"/>
        </w:rPr>
        <w:t xml:space="preserve"> Proyecto Nº 02127</w:t>
      </w:r>
      <w:r w:rsidRPr="00680737">
        <w:rPr>
          <w:rFonts w:ascii="Times New Roman" w:hAnsi="Times New Roman" w:cs="Times New Roman"/>
          <w:sz w:val="24"/>
          <w:szCs w:val="24"/>
        </w:rPr>
        <w:t xml:space="preserve"> denominado </w:t>
      </w:r>
      <w:r w:rsidRPr="00680737">
        <w:rPr>
          <w:rFonts w:ascii="Times New Roman" w:hAnsi="Times New Roman" w:cs="Times New Roman"/>
          <w:b/>
          <w:sz w:val="24"/>
          <w:szCs w:val="24"/>
        </w:rPr>
        <w:t xml:space="preserve">“Avances sobre la endocrinología de la reproducción en llamas (Lama </w:t>
      </w:r>
      <w:proofErr w:type="spellStart"/>
      <w:r w:rsidRPr="00680737">
        <w:rPr>
          <w:rFonts w:ascii="Times New Roman" w:hAnsi="Times New Roman" w:cs="Times New Roman"/>
          <w:b/>
          <w:sz w:val="24"/>
          <w:szCs w:val="24"/>
        </w:rPr>
        <w:t>glama</w:t>
      </w:r>
      <w:proofErr w:type="spellEnd"/>
      <w:r w:rsidRPr="00680737">
        <w:rPr>
          <w:rFonts w:ascii="Times New Roman" w:hAnsi="Times New Roman" w:cs="Times New Roman"/>
          <w:b/>
          <w:sz w:val="24"/>
          <w:szCs w:val="24"/>
        </w:rPr>
        <w:t>): estudios sobre la funcionalidad del cuerpo lúteo y el reconocimiento materno de la preñez”</w:t>
      </w:r>
      <w:r w:rsidRPr="00680737">
        <w:rPr>
          <w:rFonts w:ascii="Times New Roman" w:eastAsia="Times New Roman" w:hAnsi="Times New Roman" w:cs="Times New Roman"/>
          <w:sz w:val="24"/>
          <w:szCs w:val="24"/>
          <w:lang w:val="es-AR" w:eastAsia="es-ES"/>
        </w:rPr>
        <w:t xml:space="preserve"> en el marco de la Convocatoria </w:t>
      </w:r>
      <w:r w:rsidRPr="00680737">
        <w:rPr>
          <w:rFonts w:ascii="Times New Roman" w:eastAsia="Times New Roman" w:hAnsi="Times New Roman" w:cs="Times New Roman"/>
          <w:b/>
          <w:sz w:val="24"/>
          <w:szCs w:val="24"/>
          <w:lang w:val="es-AR" w:eastAsia="es-ES"/>
        </w:rPr>
        <w:t>PICT 2019</w:t>
      </w:r>
      <w:r w:rsidRPr="00680737">
        <w:rPr>
          <w:rFonts w:ascii="Times New Roman" w:eastAsia="Times New Roman" w:hAnsi="Times New Roman" w:cs="Times New Roman"/>
          <w:sz w:val="24"/>
          <w:szCs w:val="24"/>
          <w:lang w:val="es-AR" w:eastAsia="es-ES"/>
        </w:rPr>
        <w:t>, manifiesto en carácter de DECLARACIÓN JURADA lo siguiente:</w:t>
      </w:r>
    </w:p>
    <w:p w:rsidR="00F01522" w:rsidRDefault="00F01522" w:rsidP="00F01522">
      <w:pPr>
        <w:spacing w:line="360" w:lineRule="auto"/>
        <w:jc w:val="both"/>
      </w:pPr>
    </w:p>
    <w:p w:rsidR="00F01522" w:rsidRPr="00680737" w:rsidRDefault="00F01522" w:rsidP="00F01522">
      <w:pPr>
        <w:numPr>
          <w:ilvl w:val="0"/>
          <w:numId w:val="4"/>
        </w:numPr>
        <w:spacing w:line="360" w:lineRule="auto"/>
        <w:jc w:val="both"/>
      </w:pPr>
      <w:r w:rsidRPr="00680737">
        <w:t xml:space="preserve">Que en el marco del proyecto identificado en el encabezado se contempla la adquisición de: </w:t>
      </w:r>
      <w:r w:rsidRPr="00680737">
        <w:rPr>
          <w:b/>
        </w:rPr>
        <w:t xml:space="preserve">Una unidad del siguiente insumo: KIT DE RIA DE PROGESTERONA X 100 DET (IM 1188, </w:t>
      </w:r>
      <w:proofErr w:type="spellStart"/>
      <w:r w:rsidRPr="00680737">
        <w:rPr>
          <w:b/>
        </w:rPr>
        <w:t>Beckman</w:t>
      </w:r>
      <w:proofErr w:type="spellEnd"/>
      <w:r w:rsidRPr="00680737">
        <w:rPr>
          <w:b/>
        </w:rPr>
        <w:t xml:space="preserve"> </w:t>
      </w:r>
      <w:proofErr w:type="spellStart"/>
      <w:r w:rsidRPr="00680737">
        <w:rPr>
          <w:b/>
        </w:rPr>
        <w:t>Coulter</w:t>
      </w:r>
      <w:proofErr w:type="spellEnd"/>
      <w:r w:rsidRPr="00680737">
        <w:rPr>
          <w:b/>
        </w:rPr>
        <w:t xml:space="preserve">, </w:t>
      </w:r>
      <w:proofErr w:type="spellStart"/>
      <w:r w:rsidRPr="00680737">
        <w:rPr>
          <w:b/>
        </w:rPr>
        <w:t>Immunotech</w:t>
      </w:r>
      <w:proofErr w:type="spellEnd"/>
      <w:r w:rsidRPr="00680737">
        <w:rPr>
          <w:b/>
        </w:rPr>
        <w:t xml:space="preserve">, </w:t>
      </w:r>
      <w:proofErr w:type="spellStart"/>
      <w:r w:rsidRPr="00680737">
        <w:rPr>
          <w:b/>
        </w:rPr>
        <w:t>Czech</w:t>
      </w:r>
      <w:proofErr w:type="spellEnd"/>
      <w:r w:rsidRPr="00680737">
        <w:rPr>
          <w:b/>
        </w:rPr>
        <w:t xml:space="preserve"> </w:t>
      </w:r>
      <w:proofErr w:type="spellStart"/>
      <w:r w:rsidRPr="00680737">
        <w:rPr>
          <w:b/>
        </w:rPr>
        <w:t>Republic</w:t>
      </w:r>
      <w:proofErr w:type="spellEnd"/>
      <w:r w:rsidRPr="00680737">
        <w:rPr>
          <w:b/>
        </w:rPr>
        <w:t>)</w:t>
      </w:r>
      <w:r w:rsidRPr="00680737">
        <w:t>, cuyas características técnicas específicas se detallan en el ANEXO I del presente instrumento.</w:t>
      </w:r>
    </w:p>
    <w:p w:rsidR="00F01522" w:rsidRPr="00680737" w:rsidRDefault="00F01522" w:rsidP="00F01522">
      <w:pPr>
        <w:numPr>
          <w:ilvl w:val="0"/>
          <w:numId w:val="4"/>
        </w:numPr>
        <w:spacing w:line="360" w:lineRule="auto"/>
        <w:jc w:val="both"/>
      </w:pPr>
      <w:r w:rsidRPr="00680737">
        <w:t>Que se ha puesto toda la diligencia debida, a fin de implementar la investigación de mercado correspondiente, por la que se determinó que el único</w:t>
      </w:r>
      <w:r>
        <w:t xml:space="preserve"> insumo:</w:t>
      </w:r>
      <w:r w:rsidRPr="00680737">
        <w:t xml:space="preserve"> </w:t>
      </w:r>
      <w:r w:rsidRPr="00680737">
        <w:rPr>
          <w:b/>
        </w:rPr>
        <w:t>kit de RIA</w:t>
      </w:r>
      <w:r w:rsidRPr="00680737">
        <w:t xml:space="preserve">, a nivel local, que cumple con las exigencias establecidas en el proyecto es el: </w:t>
      </w:r>
      <w:r w:rsidRPr="00680737">
        <w:rPr>
          <w:b/>
        </w:rPr>
        <w:t>KIT DE RIA DE PROGESTERONA X 100 DET (IM 1188, BECKMAN COULTER)</w:t>
      </w:r>
      <w:r w:rsidRPr="00680737">
        <w:t xml:space="preserve">, por las razones que se detallan en el ANEXO II. </w:t>
      </w:r>
    </w:p>
    <w:p w:rsidR="00F01522" w:rsidRPr="00680737" w:rsidRDefault="00F01522" w:rsidP="00F01522">
      <w:pPr>
        <w:numPr>
          <w:ilvl w:val="0"/>
          <w:numId w:val="4"/>
        </w:numPr>
        <w:spacing w:line="360" w:lineRule="auto"/>
        <w:jc w:val="both"/>
      </w:pPr>
      <w:r w:rsidRPr="00680737">
        <w:t xml:space="preserve">Que de la misma exploración de mercado resulta que la única firma proveedora del insumo mencionado en 2. es: </w:t>
      </w:r>
      <w:r w:rsidRPr="00680737">
        <w:rPr>
          <w:b/>
        </w:rPr>
        <w:t xml:space="preserve">BIO ANALYTICAL SRL </w:t>
      </w:r>
      <w:r w:rsidRPr="00680737">
        <w:t xml:space="preserve">y que su representante exclusivo en Argentina es: </w:t>
      </w:r>
      <w:r w:rsidRPr="00680737">
        <w:rPr>
          <w:b/>
        </w:rPr>
        <w:t>BIO ANALYTICAL SRL</w:t>
      </w:r>
      <w:r w:rsidRPr="00680737">
        <w:rPr>
          <w:b/>
          <w:i/>
        </w:rPr>
        <w:t>.</w:t>
      </w:r>
    </w:p>
    <w:p w:rsidR="00F01522" w:rsidRDefault="00F01522" w:rsidP="00F01522">
      <w:pPr>
        <w:pStyle w:val="Standard"/>
        <w:spacing w:after="0" w:line="360" w:lineRule="auto"/>
        <w:ind w:left="360"/>
      </w:pPr>
      <w:r>
        <w:rPr>
          <w:rFonts w:ascii="Times New Roman" w:eastAsia="Times New Roman" w:hAnsi="Times New Roman" w:cs="Times New Roman"/>
          <w:i/>
          <w:sz w:val="24"/>
          <w:szCs w:val="24"/>
          <w:lang w:val="es-AR" w:eastAsia="es-ES"/>
        </w:rPr>
        <w:t>(En el caso que el proveedor seleccionado sea el representante único o exclusivo deberá adjuntar el certificado de representación vigente.).</w:t>
      </w:r>
    </w:p>
    <w:p w:rsidR="00291521" w:rsidRDefault="00291521" w:rsidP="00F01522">
      <w:pPr>
        <w:numPr>
          <w:ilvl w:val="0"/>
          <w:numId w:val="4"/>
        </w:numPr>
        <w:spacing w:line="360" w:lineRule="auto"/>
        <w:jc w:val="both"/>
      </w:pPr>
      <w:r>
        <w:lastRenderedPageBreak/>
        <w:t xml:space="preserve">El inciso de la cláusula </w:t>
      </w:r>
      <w:r w:rsidRPr="009B1658">
        <w:t>3.</w:t>
      </w:r>
      <w:r w:rsidR="00343258">
        <w:t>7</w:t>
      </w:r>
      <w:r w:rsidRPr="009B1658">
        <w:t xml:space="preserve"> de</w:t>
      </w:r>
      <w:r>
        <w:t xml:space="preserve"> las </w:t>
      </w:r>
      <w:r w:rsidRPr="00D36ED6">
        <w:rPr>
          <w:sz w:val="22"/>
          <w:szCs w:val="22"/>
        </w:rPr>
        <w:t xml:space="preserve">Políticas para la </w:t>
      </w:r>
      <w:r w:rsidRPr="003D5521">
        <w:t>Adquisición de Bienes y Obras financiados por el Banco Interamericano de Desarrollo</w:t>
      </w:r>
      <w:r w:rsidR="003D5521" w:rsidRPr="003D5521">
        <w:t>(</w:t>
      </w:r>
      <w:r w:rsidR="003D5521">
        <w:t>GN-2349-15)</w:t>
      </w:r>
      <w:r w:rsidRPr="003D5521">
        <w:t xml:space="preserve"> que justifica</w:t>
      </w:r>
      <w:r w:rsidRPr="00D36ED6">
        <w:rPr>
          <w:sz w:val="22"/>
          <w:szCs w:val="22"/>
        </w:rPr>
        <w:t xml:space="preserve"> la contratación directa es:</w:t>
      </w:r>
    </w:p>
    <w:p w:rsidR="00291521" w:rsidRDefault="00291521" w:rsidP="00291521">
      <w:pPr>
        <w:spacing w:line="360" w:lineRule="auto"/>
        <w:jc w:val="both"/>
      </w:pPr>
    </w:p>
    <w:p w:rsidR="006742EE" w:rsidRDefault="00F01522" w:rsidP="002922B7">
      <w:pPr>
        <w:spacing w:line="360" w:lineRule="auto"/>
        <w:ind w:left="360"/>
        <w:jc w:val="both"/>
      </w:pPr>
      <w:r w:rsidRPr="00894D66">
        <w:rPr>
          <w:noProof/>
          <w:lang w:eastAsia="es-AR"/>
        </w:rPr>
        <mc:AlternateContent>
          <mc:Choice Requires="wps">
            <w:drawing>
              <wp:anchor distT="0" distB="0" distL="114300" distR="114300" simplePos="0" relativeHeight="251655680" behindDoc="0" locked="0" layoutInCell="1" allowOverlap="1">
                <wp:simplePos x="0" y="0"/>
                <wp:positionH relativeFrom="column">
                  <wp:posOffset>32385</wp:posOffset>
                </wp:positionH>
                <wp:positionV relativeFrom="paragraph">
                  <wp:posOffset>76200</wp:posOffset>
                </wp:positionV>
                <wp:extent cx="111760" cy="111760"/>
                <wp:effectExtent l="7620" t="5080" r="13970" b="698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D4F440A" id="Rectangle 2" o:spid="_x0000_s1026" style="position:absolute;margin-left:2.55pt;margin-top:6pt;width:8.8pt;height: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"/>
            </w:pict>
          </mc:Fallback>
        </mc:AlternateContent>
      </w:r>
      <w:r w:rsidR="00343258">
        <w:t xml:space="preserve">a) Un contrato existente, incluido un contrato que no haya sido financiado originalmente por el Banco, para la adquisición de bienes o la contratación de servicios distintos a los de consultoría o de obras, adjudicado de conformidad con procedimientos aceptables para el Banco, puede ampliarse para incluir bienes, servicios distintos a los de consultoría u obras adicionales de carácter similar. En tales casos se debe justificar debidamente, a satisfacción del Banco, que no se puede obtener ventaja alguna con un nuevo proceso competitivo y que los precios del contrato ampliado son razonables; </w:t>
      </w:r>
      <w:r w:rsidR="00291521" w:rsidRPr="00291521">
        <w:t xml:space="preserve"> </w:t>
      </w:r>
    </w:p>
    <w:p w:rsidR="006742EE" w:rsidRDefault="00F01522" w:rsidP="002922B7">
      <w:pPr>
        <w:spacing w:line="360" w:lineRule="auto"/>
        <w:ind w:left="360"/>
        <w:jc w:val="both"/>
      </w:pPr>
      <w:r w:rsidRPr="00894D66">
        <w:rPr>
          <w:noProof/>
          <w:lang w:eastAsia="es-AR"/>
        </w:rPr>
        <mc:AlternateContent>
          <mc:Choice Requires="wps">
            <w:drawing>
              <wp:anchor distT="0" distB="0" distL="114300" distR="114300" simplePos="0" relativeHeight="251656704" behindDoc="0" locked="0" layoutInCell="1" allowOverlap="1">
                <wp:simplePos x="0" y="0"/>
                <wp:positionH relativeFrom="column">
                  <wp:posOffset>32385</wp:posOffset>
                </wp:positionH>
                <wp:positionV relativeFrom="paragraph">
                  <wp:posOffset>40005</wp:posOffset>
                </wp:positionV>
                <wp:extent cx="111760" cy="111760"/>
                <wp:effectExtent l="7620" t="5080" r="13970" b="698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CCF5292" id="Rectangle 3" o:spid="_x0000_s1026" style="position:absolute;margin-left:2.55pt;margin-top:3.15pt;width:8.8pt;height: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"/>
            </w:pict>
          </mc:Fallback>
        </mc:AlternateContent>
      </w:r>
      <w:r w:rsidR="00291521" w:rsidRPr="00894D66">
        <w:t>b)</w:t>
      </w:r>
      <w:r w:rsidR="00291521">
        <w:t xml:space="preserve"> </w:t>
      </w:r>
      <w:r w:rsidR="00343258">
        <w:t xml:space="preserve">La estandarización de bienes o de repuestos, con fines de compatibilidad con los bienes existentes, puede justificar compras adicionales al proveedor original. Para que se justifiquen tales compras, el equipo original debe ser apropiado, el precio debe ser razonable y deben haberse considerado y rechazado las ventajas de instalar equipo de otra marca o fuente con fundamentos aceptables para el Banco; </w:t>
      </w:r>
      <w:r w:rsidR="00291521" w:rsidRPr="00291521">
        <w:t xml:space="preserve"> </w:t>
      </w:r>
    </w:p>
    <w:p w:rsidR="00291521" w:rsidRPr="00F01522" w:rsidRDefault="00F01522" w:rsidP="002922B7">
      <w:pPr>
        <w:spacing w:line="360" w:lineRule="auto"/>
        <w:ind w:left="360"/>
        <w:jc w:val="both"/>
        <w:rPr>
          <w:b/>
        </w:rPr>
      </w:pPr>
      <w:r w:rsidRPr="00F01522">
        <w:rPr>
          <w:b/>
          <w:noProof/>
          <w:lang w:eastAsia="es-AR"/>
        </w:rPr>
        <mc:AlternateContent>
          <mc:Choice Requires="wps">
            <w:drawing>
              <wp:anchor distT="0" distB="0" distL="114300" distR="114300" simplePos="0" relativeHeight="251657728" behindDoc="0" locked="0" layoutInCell="1" allowOverlap="1">
                <wp:simplePos x="0" y="0"/>
                <wp:positionH relativeFrom="column">
                  <wp:posOffset>32385</wp:posOffset>
                </wp:positionH>
                <wp:positionV relativeFrom="paragraph">
                  <wp:posOffset>33020</wp:posOffset>
                </wp:positionV>
                <wp:extent cx="111760" cy="111760"/>
                <wp:effectExtent l="7620" t="7620" r="13970" b="1397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85A2BB4" id="Rectangle 4" o:spid="_x0000_s1026" style="position:absolute;margin-left:2.55pt;margin-top:2.6pt;width:8.8pt;height: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"/>
            </w:pict>
          </mc:Fallback>
        </mc:AlternateContent>
      </w:r>
      <w:r w:rsidR="004C1FD5" w:rsidRPr="00F01522">
        <w:rPr>
          <w:b/>
        </w:rPr>
        <w:t xml:space="preserve">c) </w:t>
      </w:r>
      <w:r w:rsidR="00343258" w:rsidRPr="00F01522">
        <w:rPr>
          <w:b/>
        </w:rPr>
        <w:t>El bien requerido es patentado o de marca registrada y puede obtenerse de una sola fuente;</w:t>
      </w:r>
    </w:p>
    <w:p w:rsidR="00291521" w:rsidRPr="00894D66" w:rsidRDefault="00F01522" w:rsidP="002922B7">
      <w:pPr>
        <w:spacing w:line="360" w:lineRule="auto"/>
        <w:ind w:left="360"/>
        <w:jc w:val="both"/>
      </w:pPr>
      <w:r w:rsidRPr="00894D66">
        <w:rPr>
          <w:noProof/>
          <w:lang w:eastAsia="es-AR"/>
        </w:rPr>
        <mc:AlternateContent>
          <mc:Choice Requires="wps">
            <w:drawing>
              <wp:anchor distT="0" distB="0" distL="114300" distR="114300" simplePos="0" relativeHeight="251658752" behindDoc="0" locked="0" layoutInCell="1" allowOverlap="1">
                <wp:simplePos x="0" y="0"/>
                <wp:positionH relativeFrom="column">
                  <wp:posOffset>32385</wp:posOffset>
                </wp:positionH>
                <wp:positionV relativeFrom="paragraph">
                  <wp:posOffset>45085</wp:posOffset>
                </wp:positionV>
                <wp:extent cx="111760" cy="111760"/>
                <wp:effectExtent l="7620" t="12065" r="13970"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CFAA471" id="Rectangle 5" o:spid="_x0000_s1026" style="position:absolute;margin-left:2.55pt;margin-top:3.55pt;width:8.8pt;height: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"/>
            </w:pict>
          </mc:Fallback>
        </mc:AlternateContent>
      </w:r>
      <w:r w:rsidR="00291521" w:rsidRPr="00894D66">
        <w:t xml:space="preserve">d) </w:t>
      </w:r>
      <w:r w:rsidR="00343258">
        <w:t>El contratista responsable del diseño de un proceso exige la compra de elementos críticos de un proveedor determinado como condición para mantener la garantía de cumplimiento de un equipo, planta o instalación; y</w:t>
      </w:r>
    </w:p>
    <w:p w:rsidR="00AC56FB" w:rsidRDefault="00F01522" w:rsidP="002922B7">
      <w:pPr>
        <w:spacing w:line="360" w:lineRule="auto"/>
        <w:ind w:left="360"/>
        <w:jc w:val="both"/>
      </w:pPr>
      <w:r w:rsidRPr="00894D66">
        <w:rPr>
          <w:noProof/>
          <w:lang w:eastAsia="es-AR"/>
        </w:rPr>
        <mc:AlternateContent>
          <mc:Choice Requires="wps">
            <w:drawing>
              <wp:anchor distT="0" distB="0" distL="114300" distR="114300" simplePos="0" relativeHeight="251659776" behindDoc="0" locked="0" layoutInCell="1" allowOverlap="1">
                <wp:simplePos x="0" y="0"/>
                <wp:positionH relativeFrom="column">
                  <wp:posOffset>32385</wp:posOffset>
                </wp:positionH>
                <wp:positionV relativeFrom="paragraph">
                  <wp:posOffset>9525</wp:posOffset>
                </wp:positionV>
                <wp:extent cx="111760" cy="111760"/>
                <wp:effectExtent l="7620" t="12700" r="13970" b="889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4B554C6" id="Rectangle 6" o:spid="_x0000_s1026" style="position:absolute;margin-left:2.55pt;margin-top:.75pt;width:8.8pt;height: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"/>
            </w:pict>
          </mc:Fallback>
        </mc:AlternateContent>
      </w:r>
      <w:r w:rsidR="00AC56FB">
        <w:t xml:space="preserve">e) </w:t>
      </w:r>
      <w:r w:rsidR="00343258">
        <w:t>En casos excepcionales como, por ejemplo, en respuesta a desastres naturales, en situaciones de emergencia o cuando no haya proveedores o contratistas para adquisiciones de pequeño valor y bajo riesgo.</w:t>
      </w:r>
    </w:p>
    <w:p w:rsidR="00343258" w:rsidRDefault="00343258" w:rsidP="00343258">
      <w:pPr>
        <w:spacing w:line="360" w:lineRule="auto"/>
        <w:jc w:val="both"/>
        <w:rPr>
          <w:sz w:val="16"/>
          <w:szCs w:val="16"/>
        </w:rPr>
      </w:pPr>
      <w:r>
        <w:rPr>
          <w:sz w:val="16"/>
          <w:szCs w:val="16"/>
        </w:rPr>
        <w:t xml:space="preserve">* </w:t>
      </w:r>
      <w:r w:rsidRPr="00343258">
        <w:rPr>
          <w:sz w:val="16"/>
          <w:szCs w:val="16"/>
        </w:rPr>
        <w:t>Una vez firmado el contrato, el Prestatario debe publicar en la versión en línea de UNDB</w:t>
      </w:r>
      <w:r>
        <w:rPr>
          <w:sz w:val="16"/>
          <w:szCs w:val="16"/>
        </w:rPr>
        <w:t xml:space="preserve"> (</w:t>
      </w:r>
      <w:r w:rsidRPr="00343258">
        <w:rPr>
          <w:sz w:val="16"/>
          <w:szCs w:val="16"/>
        </w:rPr>
        <w:t xml:space="preserve">Publicación de las Naciones Unidas </w:t>
      </w:r>
      <w:proofErr w:type="spellStart"/>
      <w:proofErr w:type="gramStart"/>
      <w:r w:rsidRPr="00343258">
        <w:rPr>
          <w:sz w:val="16"/>
          <w:szCs w:val="16"/>
        </w:rPr>
        <w:t>Development</w:t>
      </w:r>
      <w:proofErr w:type="spellEnd"/>
      <w:r w:rsidR="003D5521">
        <w:rPr>
          <w:sz w:val="16"/>
          <w:szCs w:val="16"/>
        </w:rPr>
        <w:t xml:space="preserve"> </w:t>
      </w:r>
      <w:r w:rsidRPr="00343258">
        <w:rPr>
          <w:sz w:val="16"/>
          <w:szCs w:val="16"/>
        </w:rPr>
        <w:t xml:space="preserve"> Business</w:t>
      </w:r>
      <w:proofErr w:type="gramEnd"/>
      <w:r w:rsidRPr="00343258">
        <w:rPr>
          <w:sz w:val="16"/>
          <w:szCs w:val="16"/>
        </w:rPr>
        <w:t>) el nombre del contratista, el precio, la duración y un resumen del alcance del contrat</w:t>
      </w:r>
      <w:r>
        <w:rPr>
          <w:sz w:val="16"/>
          <w:szCs w:val="16"/>
        </w:rPr>
        <w:t>o.</w:t>
      </w:r>
    </w:p>
    <w:p w:rsidR="00F01522" w:rsidRDefault="00F01522" w:rsidP="00343258">
      <w:pPr>
        <w:spacing w:line="360" w:lineRule="auto"/>
        <w:jc w:val="both"/>
        <w:rPr>
          <w:sz w:val="16"/>
          <w:szCs w:val="16"/>
        </w:rPr>
      </w:pPr>
    </w:p>
    <w:p w:rsidR="00F01522" w:rsidRDefault="00F01522" w:rsidP="00343258">
      <w:pPr>
        <w:spacing w:line="360" w:lineRule="auto"/>
        <w:jc w:val="both"/>
        <w:rPr>
          <w:sz w:val="16"/>
          <w:szCs w:val="16"/>
        </w:rPr>
      </w:pPr>
    </w:p>
    <w:p w:rsidR="00F01522" w:rsidRDefault="00F01522" w:rsidP="00343258">
      <w:pPr>
        <w:spacing w:line="360" w:lineRule="auto"/>
        <w:jc w:val="both"/>
        <w:rPr>
          <w:sz w:val="16"/>
          <w:szCs w:val="16"/>
        </w:rPr>
      </w:pPr>
    </w:p>
    <w:p w:rsidR="00F01522" w:rsidRDefault="00F01522" w:rsidP="00343258">
      <w:pPr>
        <w:spacing w:line="360" w:lineRule="auto"/>
        <w:jc w:val="both"/>
        <w:rPr>
          <w:sz w:val="16"/>
          <w:szCs w:val="16"/>
        </w:rPr>
      </w:pPr>
    </w:p>
    <w:p w:rsidR="00F01522" w:rsidRDefault="00F01522" w:rsidP="00343258">
      <w:pPr>
        <w:spacing w:line="360" w:lineRule="auto"/>
        <w:jc w:val="both"/>
        <w:rPr>
          <w:sz w:val="16"/>
          <w:szCs w:val="16"/>
        </w:rPr>
      </w:pPr>
    </w:p>
    <w:p w:rsidR="00F01522" w:rsidRDefault="00F01522" w:rsidP="00343258">
      <w:pPr>
        <w:spacing w:line="360" w:lineRule="auto"/>
        <w:jc w:val="both"/>
        <w:rPr>
          <w:sz w:val="16"/>
          <w:szCs w:val="16"/>
        </w:rPr>
      </w:pPr>
    </w:p>
    <w:p w:rsidR="00F01522" w:rsidRPr="00343258" w:rsidRDefault="00F01522" w:rsidP="00343258">
      <w:pPr>
        <w:spacing w:line="360" w:lineRule="auto"/>
        <w:jc w:val="both"/>
        <w:rPr>
          <w:sz w:val="16"/>
          <w:szCs w:val="16"/>
        </w:rPr>
      </w:pPr>
    </w:p>
    <w:p w:rsidR="00F01522" w:rsidRDefault="00F01522" w:rsidP="00F01522">
      <w:pPr>
        <w:spacing w:line="360" w:lineRule="auto"/>
        <w:ind w:left="360"/>
      </w:pPr>
      <w:r>
        <w:rPr>
          <w:noProof/>
          <w:lang w:eastAsia="es-AR"/>
        </w:rPr>
        <w:lastRenderedPageBreak/>
        <w:drawing>
          <wp:anchor distT="0" distB="0" distL="114300" distR="114300" simplePos="0" relativeHeight="251660800" behindDoc="1" locked="0" layoutInCell="1" allowOverlap="1">
            <wp:simplePos x="0" y="0"/>
            <wp:positionH relativeFrom="column">
              <wp:posOffset>3615055</wp:posOffset>
            </wp:positionH>
            <wp:positionV relativeFrom="paragraph">
              <wp:posOffset>234315</wp:posOffset>
            </wp:positionV>
            <wp:extent cx="1295400" cy="581025"/>
            <wp:effectExtent l="0" t="0" r="0" b="0"/>
            <wp:wrapTight wrapText="bothSides">
              <wp:wrapPolygon edited="0">
                <wp:start x="0" y="0"/>
                <wp:lineTo x="0" y="21246"/>
                <wp:lineTo x="21282" y="21246"/>
                <wp:lineTo x="21282" y="0"/>
                <wp:lineTo x="0" y="0"/>
              </wp:wrapPolygon>
            </wp:wrapTight>
            <wp:docPr id="4" name="1 Imagen" descr="Fir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Firma 1.jpg"/>
                    <pic:cNvPicPr>
                      <a:picLocks noChangeAspect="1" noChangeArrowheads="1"/>
                    </pic:cNvPicPr>
                  </pic:nvPicPr>
                  <pic:blipFill>
                    <a:blip r:embed="rId7">
                      <a:lum bright="10000" contrast="10000"/>
                      <a:extLst>
                        <a:ext uri="{28A0092B-C50C-407E-A947-70E740481C1C}">
                          <a14:useLocalDpi xmlns:a14="http://schemas.microsoft.com/office/drawing/2010/main" val="0"/>
                        </a:ext>
                      </a:extLst>
                    </a:blip>
                    <a:srcRect l="9219" t="7463" r="10638" b="17165"/>
                    <a:stretch>
                      <a:fillRect/>
                    </a:stretch>
                  </pic:blipFill>
                  <pic:spPr bwMode="auto">
                    <a:xfrm>
                      <a:off x="0" y="0"/>
                      <a:ext cx="12954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522" w:rsidRDefault="00F01522" w:rsidP="00F01522">
      <w:pPr>
        <w:spacing w:line="360" w:lineRule="auto"/>
        <w:ind w:left="360"/>
      </w:pPr>
    </w:p>
    <w:p w:rsidR="00F01522" w:rsidRDefault="00F01522" w:rsidP="00F01522">
      <w:pPr>
        <w:spacing w:line="360" w:lineRule="auto"/>
        <w:ind w:left="360"/>
      </w:pPr>
    </w:p>
    <w:p w:rsidR="00F01522" w:rsidRDefault="00F01522" w:rsidP="00F01522">
      <w:pPr>
        <w:spacing w:line="360" w:lineRule="auto"/>
        <w:ind w:left="360"/>
      </w:pPr>
    </w:p>
    <w:p w:rsidR="00F01522" w:rsidRDefault="00705DFD" w:rsidP="00F01522">
      <w:pPr>
        <w:pStyle w:val="Standard"/>
        <w:spacing w:after="0" w:line="360" w:lineRule="auto"/>
        <w:ind w:left="360"/>
        <w:rPr>
          <w:rFonts w:ascii="Times New Roman" w:eastAsia="Times New Roman" w:hAnsi="Times New Roman" w:cs="Times New Roman"/>
          <w:sz w:val="24"/>
          <w:szCs w:val="24"/>
          <w:lang w:val="es-AR" w:eastAsia="es-ES"/>
        </w:rPr>
      </w:pPr>
      <w:r>
        <w:rPr>
          <w:rFonts w:ascii="Times New Roman" w:eastAsia="Times New Roman" w:hAnsi="Times New Roman" w:cs="Times New Roman"/>
          <w:sz w:val="24"/>
          <w:szCs w:val="24"/>
          <w:lang w:val="es-AR" w:eastAsia="es-ES"/>
        </w:rPr>
        <w:t>Tandil, 06/07/2023</w:t>
      </w:r>
      <w:r w:rsidR="00F01522">
        <w:rPr>
          <w:rFonts w:ascii="Times New Roman" w:eastAsia="Times New Roman" w:hAnsi="Times New Roman" w:cs="Times New Roman"/>
          <w:sz w:val="24"/>
          <w:szCs w:val="24"/>
          <w:lang w:val="es-AR" w:eastAsia="es-ES"/>
        </w:rPr>
        <w:tab/>
      </w:r>
      <w:r w:rsidR="00F01522">
        <w:rPr>
          <w:rFonts w:ascii="Times New Roman" w:eastAsia="Times New Roman" w:hAnsi="Times New Roman" w:cs="Times New Roman"/>
          <w:sz w:val="24"/>
          <w:szCs w:val="24"/>
          <w:lang w:val="es-AR" w:eastAsia="es-ES"/>
        </w:rPr>
        <w:tab/>
        <w:t xml:space="preserve">                                   Bianchi, Carolina Paula</w:t>
      </w:r>
    </w:p>
    <w:p w:rsidR="00F01522" w:rsidRDefault="00F01522" w:rsidP="00F01522">
      <w:pPr>
        <w:pStyle w:val="Standard"/>
        <w:spacing w:after="0" w:line="360" w:lineRule="auto"/>
        <w:ind w:left="284"/>
        <w:jc w:val="left"/>
      </w:pPr>
      <w:r>
        <w:rPr>
          <w:rFonts w:ascii="Times New Roman" w:eastAsia="Times New Roman" w:hAnsi="Times New Roman" w:cs="Times New Roman"/>
          <w:sz w:val="24"/>
          <w:szCs w:val="24"/>
          <w:lang w:val="es-AR" w:eastAsia="es-ES"/>
        </w:rPr>
        <w:t xml:space="preserve">………………………               </w:t>
      </w:r>
      <w:r>
        <w:rPr>
          <w:rFonts w:ascii="Times New Roman" w:eastAsia="Times New Roman" w:hAnsi="Times New Roman" w:cs="Times New Roman"/>
          <w:sz w:val="24"/>
          <w:szCs w:val="24"/>
          <w:lang w:val="es-AR" w:eastAsia="es-ES"/>
        </w:rPr>
        <w:tab/>
      </w:r>
      <w:r>
        <w:rPr>
          <w:rFonts w:ascii="Times New Roman" w:eastAsia="Times New Roman" w:hAnsi="Times New Roman" w:cs="Times New Roman"/>
          <w:sz w:val="24"/>
          <w:szCs w:val="24"/>
          <w:lang w:val="es-AR" w:eastAsia="es-ES"/>
        </w:rPr>
        <w:tab/>
      </w:r>
      <w:r>
        <w:rPr>
          <w:rFonts w:ascii="Times New Roman" w:eastAsia="Times New Roman" w:hAnsi="Times New Roman" w:cs="Times New Roman"/>
          <w:sz w:val="24"/>
          <w:szCs w:val="24"/>
          <w:lang w:val="es-AR" w:eastAsia="es-ES"/>
        </w:rPr>
        <w:tab/>
        <w:t xml:space="preserve">……………………………………...                                       </w:t>
      </w:r>
    </w:p>
    <w:p w:rsidR="00F01522" w:rsidRDefault="00F01522" w:rsidP="00F01522">
      <w:pPr>
        <w:pStyle w:val="Standard"/>
        <w:spacing w:after="0" w:line="360" w:lineRule="auto"/>
        <w:ind w:firstLine="708"/>
        <w:jc w:val="left"/>
      </w:pPr>
      <w:r>
        <w:rPr>
          <w:rFonts w:ascii="Times New Roman" w:eastAsia="Times New Roman" w:hAnsi="Times New Roman" w:cs="Times New Roman"/>
          <w:sz w:val="24"/>
          <w:szCs w:val="24"/>
          <w:lang w:val="es-AR" w:eastAsia="es-ES"/>
        </w:rPr>
        <w:t xml:space="preserve">Lugar y Fecha </w:t>
      </w:r>
      <w:r>
        <w:rPr>
          <w:rFonts w:ascii="Times New Roman" w:eastAsia="Times New Roman" w:hAnsi="Times New Roman" w:cs="Times New Roman"/>
          <w:sz w:val="24"/>
          <w:szCs w:val="24"/>
          <w:lang w:val="es-AR" w:eastAsia="es-ES"/>
        </w:rPr>
        <w:tab/>
      </w:r>
      <w:r>
        <w:rPr>
          <w:rFonts w:ascii="Times New Roman" w:eastAsia="Times New Roman" w:hAnsi="Times New Roman" w:cs="Times New Roman"/>
          <w:sz w:val="24"/>
          <w:szCs w:val="24"/>
          <w:lang w:val="es-AR" w:eastAsia="es-ES"/>
        </w:rPr>
        <w:tab/>
      </w:r>
      <w:r>
        <w:rPr>
          <w:rFonts w:ascii="Times New Roman" w:eastAsia="Times New Roman" w:hAnsi="Times New Roman" w:cs="Times New Roman"/>
          <w:sz w:val="24"/>
          <w:szCs w:val="24"/>
          <w:lang w:val="es-AR" w:eastAsia="es-ES"/>
        </w:rPr>
        <w:tab/>
      </w:r>
      <w:r>
        <w:rPr>
          <w:rFonts w:ascii="Times New Roman" w:eastAsia="Times New Roman" w:hAnsi="Times New Roman" w:cs="Times New Roman"/>
          <w:sz w:val="24"/>
          <w:szCs w:val="24"/>
          <w:lang w:val="es-AR" w:eastAsia="es-ES"/>
        </w:rPr>
        <w:tab/>
      </w:r>
      <w:r>
        <w:rPr>
          <w:rFonts w:ascii="Times New Roman" w:eastAsia="Times New Roman" w:hAnsi="Times New Roman" w:cs="Times New Roman"/>
          <w:sz w:val="24"/>
          <w:szCs w:val="24"/>
          <w:lang w:val="es-AR" w:eastAsia="es-ES"/>
        </w:rPr>
        <w:tab/>
        <w:t>Firma y aclaración del IR</w:t>
      </w:r>
    </w:p>
    <w:p w:rsidR="00932493" w:rsidRDefault="00932493" w:rsidP="00E44EF6">
      <w:pPr>
        <w:spacing w:line="360" w:lineRule="auto"/>
        <w:ind w:left="284"/>
        <w:jc w:val="center"/>
        <w:rPr>
          <w:b/>
        </w:rPr>
      </w:pPr>
      <w:r>
        <w:rPr>
          <w:b/>
        </w:rPr>
        <w:br w:type="page"/>
      </w:r>
    </w:p>
    <w:p w:rsidR="001332ED" w:rsidRPr="00A10219" w:rsidRDefault="00A92EE7" w:rsidP="00E44EF6">
      <w:pPr>
        <w:spacing w:line="360" w:lineRule="auto"/>
        <w:ind w:left="284"/>
        <w:jc w:val="center"/>
        <w:rPr>
          <w:b/>
        </w:rPr>
      </w:pPr>
      <w:r w:rsidRPr="00A10219">
        <w:rPr>
          <w:b/>
        </w:rPr>
        <w:lastRenderedPageBreak/>
        <w:t>ANEXO</w:t>
      </w:r>
      <w:r w:rsidR="00141DEF" w:rsidRPr="00A10219">
        <w:rPr>
          <w:b/>
        </w:rPr>
        <w:t xml:space="preserve"> I</w:t>
      </w:r>
    </w:p>
    <w:p w:rsidR="00141DEF" w:rsidRPr="00A10219" w:rsidRDefault="00141DEF" w:rsidP="00A4404A">
      <w:pPr>
        <w:spacing w:line="360" w:lineRule="auto"/>
        <w:ind w:left="284"/>
      </w:pPr>
    </w:p>
    <w:p w:rsidR="00F01522" w:rsidRPr="00680737" w:rsidRDefault="00F01522" w:rsidP="00F01522">
      <w:pPr>
        <w:spacing w:line="360" w:lineRule="auto"/>
        <w:ind w:left="284"/>
      </w:pPr>
      <w:r w:rsidRPr="00680737">
        <w:rPr>
          <w:b/>
        </w:rPr>
        <w:t>Especificaciones Técnicas del Insumo solicitado:</w:t>
      </w:r>
    </w:p>
    <w:p w:rsidR="00F01522" w:rsidRPr="00680737" w:rsidRDefault="00F01522" w:rsidP="00F01522">
      <w:pPr>
        <w:numPr>
          <w:ilvl w:val="0"/>
          <w:numId w:val="5"/>
        </w:numPr>
        <w:tabs>
          <w:tab w:val="left" w:pos="142"/>
          <w:tab w:val="left" w:pos="426"/>
        </w:tabs>
        <w:spacing w:line="360" w:lineRule="auto"/>
        <w:ind w:left="284" w:firstLine="0"/>
        <w:jc w:val="both"/>
      </w:pPr>
      <w:r w:rsidRPr="00680737">
        <w:t>Es un Kit de RIA en fase sólida para la determinación de progesterona en muestras de plasma o suero a través de un análisis competitivo.</w:t>
      </w:r>
    </w:p>
    <w:p w:rsidR="00F01522" w:rsidRPr="00680737" w:rsidRDefault="00F01522" w:rsidP="00F01522">
      <w:pPr>
        <w:spacing w:line="360" w:lineRule="auto"/>
        <w:ind w:left="284"/>
        <w:jc w:val="both"/>
      </w:pPr>
      <w:r w:rsidRPr="00680737">
        <w:t xml:space="preserve">• Posee una curva estándar que va desde 0 a 60 </w:t>
      </w:r>
      <w:proofErr w:type="spellStart"/>
      <w:r w:rsidRPr="00680737">
        <w:t>ng</w:t>
      </w:r>
      <w:proofErr w:type="spellEnd"/>
      <w:r w:rsidRPr="00680737">
        <w:t xml:space="preserve">/ml con una sensibilidad analítica de 0,03 </w:t>
      </w:r>
      <w:proofErr w:type="spellStart"/>
      <w:r w:rsidRPr="00680737">
        <w:t>ng</w:t>
      </w:r>
      <w:proofErr w:type="spellEnd"/>
      <w:r w:rsidRPr="00680737">
        <w:t>/ml y un anticuerpo altamente específico para la determinación de progesterona.</w:t>
      </w:r>
    </w:p>
    <w:p w:rsidR="00F01522" w:rsidRPr="00680737" w:rsidRDefault="00F01522" w:rsidP="00F01522">
      <w:pPr>
        <w:spacing w:line="360" w:lineRule="auto"/>
        <w:ind w:left="284"/>
        <w:jc w:val="both"/>
      </w:pPr>
      <w:r w:rsidRPr="00680737">
        <w:t>• El mismo se encuentra validado para su uso con muestras de plasma de llamas (</w:t>
      </w:r>
      <w:r w:rsidRPr="00680737">
        <w:rPr>
          <w:i/>
        </w:rPr>
        <w:t xml:space="preserve">Lama </w:t>
      </w:r>
      <w:proofErr w:type="spellStart"/>
      <w:r w:rsidRPr="00680737">
        <w:rPr>
          <w:i/>
        </w:rPr>
        <w:t>glama</w:t>
      </w:r>
      <w:proofErr w:type="spellEnd"/>
      <w:r w:rsidRPr="00680737">
        <w:t xml:space="preserve">) en el Laboratorio de Endocrinología de la Facultad de Ciencias Veterinarias, UNCPBA, alcanzando una sensibilidad de ensayo de 0,10 </w:t>
      </w:r>
      <w:proofErr w:type="spellStart"/>
      <w:r w:rsidRPr="00680737">
        <w:t>ng</w:t>
      </w:r>
      <w:proofErr w:type="spellEnd"/>
      <w:r w:rsidRPr="00680737">
        <w:t>/ml, fundamental para el desarrollo de los trabajos en Camélidos Sudamericanos (Bianchi et al., 2018).</w:t>
      </w:r>
    </w:p>
    <w:p w:rsidR="00F01522" w:rsidRPr="00680737" w:rsidRDefault="00F01522" w:rsidP="00F01522">
      <w:pPr>
        <w:spacing w:line="360" w:lineRule="auto"/>
        <w:ind w:left="284"/>
      </w:pPr>
    </w:p>
    <w:p w:rsidR="00F01522" w:rsidRPr="00680737" w:rsidRDefault="00F01522" w:rsidP="00F01522">
      <w:pPr>
        <w:spacing w:line="360" w:lineRule="auto"/>
        <w:ind w:left="284"/>
      </w:pPr>
    </w:p>
    <w:p w:rsidR="00F01522" w:rsidRPr="00680737" w:rsidRDefault="00F01522" w:rsidP="00F01522">
      <w:pPr>
        <w:spacing w:line="360" w:lineRule="auto"/>
        <w:ind w:left="284"/>
        <w:rPr>
          <w:b/>
        </w:rPr>
      </w:pPr>
      <w:r>
        <w:rPr>
          <w:noProof/>
          <w:lang w:eastAsia="es-AR"/>
        </w:rPr>
        <w:drawing>
          <wp:anchor distT="0" distB="0" distL="114300" distR="114300" simplePos="0" relativeHeight="251662848" behindDoc="1" locked="0" layoutInCell="1" allowOverlap="1">
            <wp:simplePos x="0" y="0"/>
            <wp:positionH relativeFrom="column">
              <wp:posOffset>4034790</wp:posOffset>
            </wp:positionH>
            <wp:positionV relativeFrom="paragraph">
              <wp:posOffset>40640</wp:posOffset>
            </wp:positionV>
            <wp:extent cx="1295400" cy="581025"/>
            <wp:effectExtent l="0" t="0" r="0" b="0"/>
            <wp:wrapTight wrapText="bothSides">
              <wp:wrapPolygon edited="0">
                <wp:start x="0" y="0"/>
                <wp:lineTo x="0" y="21246"/>
                <wp:lineTo x="21282" y="21246"/>
                <wp:lineTo x="21282" y="0"/>
                <wp:lineTo x="0" y="0"/>
              </wp:wrapPolygon>
            </wp:wrapTight>
            <wp:docPr id="3" name="1 Imagen" descr="Fir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Firma 1.jpg"/>
                    <pic:cNvPicPr>
                      <a:picLocks noChangeAspect="1" noChangeArrowheads="1"/>
                    </pic:cNvPicPr>
                  </pic:nvPicPr>
                  <pic:blipFill>
                    <a:blip r:embed="rId7">
                      <a:lum bright="10000" contrast="10000"/>
                      <a:extLst>
                        <a:ext uri="{28A0092B-C50C-407E-A947-70E740481C1C}">
                          <a14:useLocalDpi xmlns:a14="http://schemas.microsoft.com/office/drawing/2010/main" val="0"/>
                        </a:ext>
                      </a:extLst>
                    </a:blip>
                    <a:srcRect l="9219" t="7463" r="10638" b="17165"/>
                    <a:stretch>
                      <a:fillRect/>
                    </a:stretch>
                  </pic:blipFill>
                  <pic:spPr bwMode="auto">
                    <a:xfrm>
                      <a:off x="0" y="0"/>
                      <a:ext cx="12954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737">
        <w:rPr>
          <w:b/>
        </w:rPr>
        <w:tab/>
      </w:r>
      <w:r w:rsidRPr="00680737">
        <w:rPr>
          <w:b/>
        </w:rPr>
        <w:tab/>
      </w:r>
      <w:r w:rsidRPr="00680737">
        <w:rPr>
          <w:b/>
        </w:rPr>
        <w:tab/>
      </w:r>
      <w:r w:rsidRPr="00680737">
        <w:rPr>
          <w:b/>
        </w:rPr>
        <w:tab/>
      </w:r>
      <w:r w:rsidRPr="00680737">
        <w:rPr>
          <w:b/>
        </w:rPr>
        <w:tab/>
      </w:r>
      <w:r w:rsidRPr="00680737">
        <w:rPr>
          <w:b/>
        </w:rPr>
        <w:tab/>
      </w:r>
      <w:r w:rsidRPr="00680737">
        <w:rPr>
          <w:b/>
        </w:rPr>
        <w:tab/>
      </w:r>
      <w:r w:rsidRPr="00680737">
        <w:rPr>
          <w:b/>
        </w:rPr>
        <w:tab/>
        <w:t xml:space="preserve">   </w:t>
      </w:r>
    </w:p>
    <w:p w:rsidR="00F01522" w:rsidRPr="00680737" w:rsidRDefault="00F01522" w:rsidP="00F01522">
      <w:pPr>
        <w:spacing w:line="360" w:lineRule="auto"/>
        <w:ind w:left="284"/>
        <w:rPr>
          <w:b/>
        </w:rPr>
      </w:pPr>
    </w:p>
    <w:p w:rsidR="00F01522" w:rsidRPr="00680737" w:rsidRDefault="00F01522" w:rsidP="00F01522">
      <w:pPr>
        <w:spacing w:line="360" w:lineRule="auto"/>
        <w:ind w:left="5948" w:firstLine="424"/>
        <w:rPr>
          <w:b/>
        </w:rPr>
      </w:pPr>
      <w:r w:rsidRPr="00680737">
        <w:rPr>
          <w:b/>
        </w:rPr>
        <w:t>Carolina Bianchi</w:t>
      </w:r>
    </w:p>
    <w:p w:rsidR="00F01522" w:rsidRDefault="00F01522" w:rsidP="00F01522">
      <w:pPr>
        <w:spacing w:line="360" w:lineRule="auto"/>
        <w:ind w:left="284"/>
        <w:jc w:val="center"/>
      </w:pPr>
      <w:r>
        <w:t xml:space="preserve">                                                                                                </w:t>
      </w:r>
      <w:r w:rsidRPr="00680737">
        <w:t>Firma y aclaración del IR</w:t>
      </w:r>
      <w:r w:rsidRPr="00680737">
        <w:br w:type="page"/>
      </w:r>
    </w:p>
    <w:p w:rsidR="00F01522" w:rsidRDefault="00F01522" w:rsidP="00F01522">
      <w:pPr>
        <w:spacing w:line="360" w:lineRule="auto"/>
        <w:ind w:left="2832" w:firstLine="708"/>
      </w:pPr>
      <w:r>
        <w:rPr>
          <w:b/>
        </w:rPr>
        <w:lastRenderedPageBreak/>
        <w:t>ANEXO II</w:t>
      </w:r>
    </w:p>
    <w:p w:rsidR="00F01522" w:rsidRPr="00680737" w:rsidRDefault="00F01522" w:rsidP="00F01522">
      <w:pPr>
        <w:pStyle w:val="Standard"/>
        <w:spacing w:after="0" w:line="360" w:lineRule="auto"/>
        <w:ind w:left="284"/>
        <w:jc w:val="left"/>
        <w:rPr>
          <w:rFonts w:ascii="Times New Roman" w:eastAsia="Times New Roman" w:hAnsi="Times New Roman" w:cs="Times New Roman"/>
          <w:b/>
          <w:sz w:val="28"/>
          <w:szCs w:val="24"/>
          <w:lang w:val="es-AR" w:eastAsia="es-ES"/>
        </w:rPr>
      </w:pPr>
    </w:p>
    <w:p w:rsidR="00F01522" w:rsidRPr="00680737" w:rsidRDefault="00F01522" w:rsidP="00F01522">
      <w:pPr>
        <w:spacing w:line="360" w:lineRule="auto"/>
        <w:ind w:left="284"/>
        <w:jc w:val="both"/>
      </w:pPr>
      <w:r w:rsidRPr="00680737">
        <w:t xml:space="preserve">El equipo </w:t>
      </w:r>
      <w:r w:rsidRPr="00680737">
        <w:rPr>
          <w:b/>
        </w:rPr>
        <w:t>KIT DE RIA DE PROGESTERONA X 100 DET (IM 1188, BECKMAN COULTER)</w:t>
      </w:r>
      <w:r w:rsidRPr="00680737">
        <w:t xml:space="preserve">, es </w:t>
      </w:r>
      <w:r w:rsidRPr="00680737">
        <w:rPr>
          <w:b/>
        </w:rPr>
        <w:t>el único</w:t>
      </w:r>
      <w:r w:rsidRPr="00680737">
        <w:t xml:space="preserve"> </w:t>
      </w:r>
      <w:r w:rsidRPr="001B3476">
        <w:t>que se puede adquirir a fin de asegurar la compatibilidad y mantener la coherencia de los resultados de los estudios realizados y validados en estudios previos</w:t>
      </w:r>
      <w:r>
        <w:t>.</w:t>
      </w:r>
    </w:p>
    <w:p w:rsidR="00F01522" w:rsidRPr="00680737" w:rsidRDefault="00F01522" w:rsidP="00F01522">
      <w:pPr>
        <w:spacing w:line="360" w:lineRule="auto"/>
        <w:ind w:left="284"/>
        <w:jc w:val="both"/>
      </w:pPr>
      <w:r w:rsidRPr="00680737">
        <w:t>Dicho kit ha sido previamente validado para su uso con muestras de plasma de llamas (Bianchi et al., 2018)</w:t>
      </w:r>
      <w:r>
        <w:t>.</w:t>
      </w:r>
      <w:r w:rsidRPr="00680737">
        <w:t xml:space="preserve"> </w:t>
      </w:r>
    </w:p>
    <w:p w:rsidR="00F01522" w:rsidRPr="00680737" w:rsidRDefault="00F01522" w:rsidP="00F01522">
      <w:pPr>
        <w:spacing w:line="360" w:lineRule="auto"/>
        <w:ind w:left="284"/>
      </w:pPr>
      <w:r>
        <w:rPr>
          <w:noProof/>
          <w:lang w:eastAsia="es-AR"/>
        </w:rPr>
        <w:drawing>
          <wp:anchor distT="0" distB="0" distL="114300" distR="114300" simplePos="0" relativeHeight="251664896" behindDoc="1" locked="0" layoutInCell="1" allowOverlap="1">
            <wp:simplePos x="0" y="0"/>
            <wp:positionH relativeFrom="column">
              <wp:posOffset>3787140</wp:posOffset>
            </wp:positionH>
            <wp:positionV relativeFrom="paragraph">
              <wp:posOffset>133985</wp:posOffset>
            </wp:positionV>
            <wp:extent cx="1295400" cy="581025"/>
            <wp:effectExtent l="0" t="0" r="0" b="0"/>
            <wp:wrapTight wrapText="bothSides">
              <wp:wrapPolygon edited="0">
                <wp:start x="0" y="0"/>
                <wp:lineTo x="0" y="21246"/>
                <wp:lineTo x="21282" y="21246"/>
                <wp:lineTo x="21282" y="0"/>
                <wp:lineTo x="0" y="0"/>
              </wp:wrapPolygon>
            </wp:wrapTight>
            <wp:docPr id="2" name="1 Imagen" descr="Fir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Firma 1.jpg"/>
                    <pic:cNvPicPr>
                      <a:picLocks noChangeAspect="1" noChangeArrowheads="1"/>
                    </pic:cNvPicPr>
                  </pic:nvPicPr>
                  <pic:blipFill>
                    <a:blip r:embed="rId7">
                      <a:lum bright="10000" contrast="10000"/>
                      <a:extLst>
                        <a:ext uri="{28A0092B-C50C-407E-A947-70E740481C1C}">
                          <a14:useLocalDpi xmlns:a14="http://schemas.microsoft.com/office/drawing/2010/main" val="0"/>
                        </a:ext>
                      </a:extLst>
                    </a:blip>
                    <a:srcRect l="9219" t="7463" r="10638" b="17165"/>
                    <a:stretch>
                      <a:fillRect/>
                    </a:stretch>
                  </pic:blipFill>
                  <pic:spPr bwMode="auto">
                    <a:xfrm>
                      <a:off x="0" y="0"/>
                      <a:ext cx="12954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522" w:rsidRPr="00680737" w:rsidRDefault="00F01522" w:rsidP="00F01522">
      <w:pPr>
        <w:spacing w:line="360" w:lineRule="auto"/>
        <w:ind w:left="284"/>
      </w:pPr>
    </w:p>
    <w:p w:rsidR="00F01522" w:rsidRPr="00680737" w:rsidRDefault="00F01522" w:rsidP="00F01522">
      <w:pPr>
        <w:spacing w:line="360" w:lineRule="auto"/>
        <w:ind w:left="284"/>
        <w:rPr>
          <w:b/>
        </w:rPr>
      </w:pPr>
      <w:r w:rsidRPr="00680737">
        <w:rPr>
          <w:b/>
        </w:rPr>
        <w:tab/>
      </w:r>
      <w:r w:rsidRPr="00680737">
        <w:rPr>
          <w:b/>
        </w:rPr>
        <w:tab/>
      </w:r>
      <w:r w:rsidRPr="00680737">
        <w:rPr>
          <w:b/>
        </w:rPr>
        <w:tab/>
      </w:r>
      <w:r w:rsidRPr="00680737">
        <w:rPr>
          <w:b/>
        </w:rPr>
        <w:tab/>
      </w:r>
      <w:r w:rsidRPr="00680737">
        <w:rPr>
          <w:b/>
        </w:rPr>
        <w:tab/>
      </w:r>
      <w:r w:rsidRPr="00680737">
        <w:rPr>
          <w:b/>
        </w:rPr>
        <w:tab/>
      </w:r>
      <w:r w:rsidRPr="00680737">
        <w:rPr>
          <w:b/>
        </w:rPr>
        <w:tab/>
      </w:r>
      <w:r w:rsidRPr="00680737">
        <w:rPr>
          <w:b/>
        </w:rPr>
        <w:tab/>
        <w:t xml:space="preserve">      </w:t>
      </w:r>
    </w:p>
    <w:p w:rsidR="00F01522" w:rsidRPr="00680737" w:rsidRDefault="00F01522" w:rsidP="00F01522">
      <w:pPr>
        <w:spacing w:line="360" w:lineRule="auto"/>
        <w:ind w:left="5948"/>
        <w:rPr>
          <w:b/>
        </w:rPr>
      </w:pPr>
      <w:r w:rsidRPr="00680737">
        <w:rPr>
          <w:b/>
        </w:rPr>
        <w:t>Carolina Bianchi</w:t>
      </w:r>
    </w:p>
    <w:p w:rsidR="00F01522" w:rsidRPr="00680737" w:rsidRDefault="00F01522" w:rsidP="00F01522">
      <w:pPr>
        <w:spacing w:line="360" w:lineRule="auto"/>
        <w:ind w:left="5240" w:firstLine="424"/>
      </w:pPr>
      <w:r w:rsidRPr="00680737">
        <w:t>Firma y aclaración del IR</w:t>
      </w:r>
    </w:p>
    <w:p w:rsidR="00E02FE6" w:rsidRDefault="00F01522" w:rsidP="00F01522">
      <w:pPr>
        <w:spacing w:line="360" w:lineRule="auto"/>
        <w:ind w:left="284"/>
        <w:jc w:val="center"/>
        <w:rPr>
          <w:rFonts w:ascii="Arial" w:hAnsi="Arial" w:cs="Arial"/>
        </w:rPr>
      </w:pPr>
      <w:r>
        <w:rPr>
          <w:rFonts w:ascii="Arial" w:hAnsi="Arial" w:cs="Arial"/>
        </w:rPr>
        <w:t xml:space="preserve"> </w:t>
      </w:r>
    </w:p>
    <w:p w:rsidR="00E02FE6" w:rsidRDefault="00E02FE6" w:rsidP="00A4404A">
      <w:pPr>
        <w:spacing w:line="360" w:lineRule="auto"/>
        <w:ind w:left="284"/>
        <w:rPr>
          <w:rFonts w:ascii="Arial" w:hAnsi="Arial" w:cs="Arial"/>
        </w:rPr>
      </w:pPr>
    </w:p>
    <w:p w:rsidR="001332ED" w:rsidRDefault="001332ED" w:rsidP="00A4404A">
      <w:pPr>
        <w:spacing w:line="360" w:lineRule="auto"/>
        <w:ind w:left="284"/>
        <w:rPr>
          <w:rFonts w:ascii="Arial" w:hAnsi="Arial" w:cs="Arial"/>
        </w:rPr>
      </w:pPr>
    </w:p>
    <w:p w:rsidR="001332ED" w:rsidRPr="00A4404A" w:rsidRDefault="001332ED" w:rsidP="00A4404A">
      <w:pPr>
        <w:spacing w:line="360" w:lineRule="auto"/>
        <w:ind w:left="284"/>
        <w:rPr>
          <w:rFonts w:ascii="Arial" w:hAnsi="Arial" w:cs="Arial"/>
        </w:rPr>
      </w:pPr>
    </w:p>
    <w:sectPr w:rsidR="001332ED" w:rsidRPr="00A440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ADB" w:rsidRDefault="00093ADB">
      <w:r>
        <w:separator/>
      </w:r>
    </w:p>
  </w:endnote>
  <w:endnote w:type="continuationSeparator" w:id="0">
    <w:p w:rsidR="00093ADB" w:rsidRDefault="0009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7F9" w:rsidRDefault="002057F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7F9" w:rsidRPr="004B7254" w:rsidRDefault="002057F9" w:rsidP="002057F9">
    <w:pPr>
      <w:pStyle w:val="Piedepgina"/>
      <w:jc w:val="center"/>
      <w:rPr>
        <w:rFonts w:ascii="Arial" w:hAnsi="Arial" w:cs="Arial"/>
        <w:b/>
        <w:color w:val="333333"/>
        <w:sz w:val="15"/>
        <w:szCs w:val="15"/>
        <w:lang w:val="es-ES"/>
      </w:rPr>
    </w:pPr>
    <w:r w:rsidRPr="004B7254">
      <w:rPr>
        <w:rFonts w:ascii="Arial" w:hAnsi="Arial" w:cs="Arial"/>
        <w:b/>
        <w:color w:val="333333"/>
        <w:sz w:val="15"/>
        <w:szCs w:val="15"/>
        <w:lang w:val="es-ES"/>
      </w:rPr>
      <w:t xml:space="preserve">Agencia Nacional de Promoción </w:t>
    </w:r>
    <w:r>
      <w:rPr>
        <w:rFonts w:ascii="Arial" w:hAnsi="Arial" w:cs="Arial"/>
        <w:b/>
        <w:color w:val="333333"/>
        <w:sz w:val="15"/>
        <w:szCs w:val="15"/>
        <w:lang w:val="es-ES"/>
      </w:rPr>
      <w:t>de la Investigación, el Desarrollo Tecnológico y la Innovación</w:t>
    </w:r>
  </w:p>
  <w:p w:rsidR="002057F9" w:rsidRPr="004B7254" w:rsidRDefault="002057F9" w:rsidP="002057F9">
    <w:pPr>
      <w:pStyle w:val="Piedepgina"/>
      <w:jc w:val="center"/>
      <w:rPr>
        <w:rFonts w:ascii="Arial" w:hAnsi="Arial" w:cs="Arial"/>
        <w:color w:val="333333"/>
        <w:sz w:val="15"/>
        <w:szCs w:val="15"/>
        <w:lang w:val="es-ES"/>
      </w:rPr>
    </w:pPr>
    <w:r w:rsidRPr="004B7254">
      <w:rPr>
        <w:rFonts w:ascii="Arial" w:hAnsi="Arial" w:cs="Arial"/>
        <w:color w:val="333333"/>
        <w:sz w:val="15"/>
        <w:szCs w:val="15"/>
        <w:lang w:val="es-ES"/>
      </w:rPr>
      <w:t>Ministerio de Ciencia</w:t>
    </w:r>
    <w:r>
      <w:rPr>
        <w:rFonts w:ascii="Arial" w:hAnsi="Arial" w:cs="Arial"/>
        <w:color w:val="333333"/>
        <w:sz w:val="15"/>
        <w:szCs w:val="15"/>
        <w:lang w:val="es-ES"/>
      </w:rPr>
      <w:t xml:space="preserve">, </w:t>
    </w:r>
    <w:r w:rsidRPr="004B7254">
      <w:rPr>
        <w:rFonts w:ascii="Arial" w:hAnsi="Arial" w:cs="Arial"/>
        <w:color w:val="333333"/>
        <w:sz w:val="15"/>
        <w:szCs w:val="15"/>
        <w:lang w:val="es-ES"/>
      </w:rPr>
      <w:t>Tecnología</w:t>
    </w:r>
    <w:r>
      <w:rPr>
        <w:rFonts w:ascii="Arial" w:hAnsi="Arial" w:cs="Arial"/>
        <w:color w:val="333333"/>
        <w:sz w:val="15"/>
        <w:szCs w:val="15"/>
        <w:lang w:val="es-ES"/>
      </w:rPr>
      <w:t xml:space="preserve"> e Innovación</w:t>
    </w:r>
  </w:p>
  <w:p w:rsidR="002057F9" w:rsidRPr="004B7254" w:rsidRDefault="002057F9" w:rsidP="002057F9">
    <w:pPr>
      <w:pStyle w:val="Piedepgina"/>
      <w:jc w:val="center"/>
      <w:rPr>
        <w:rFonts w:ascii="Arial" w:hAnsi="Arial" w:cs="Arial"/>
        <w:color w:val="333333"/>
        <w:sz w:val="15"/>
        <w:szCs w:val="15"/>
        <w:lang w:val="es-ES"/>
      </w:rPr>
    </w:pPr>
    <w:r>
      <w:rPr>
        <w:rFonts w:ascii="Arial" w:hAnsi="Arial" w:cs="Arial"/>
        <w:color w:val="333333"/>
        <w:sz w:val="15"/>
        <w:szCs w:val="15"/>
        <w:lang w:val="es-ES"/>
      </w:rPr>
      <w:t>Godoy Cruz</w:t>
    </w:r>
    <w:r w:rsidRPr="004B7254">
      <w:rPr>
        <w:rFonts w:ascii="Arial" w:hAnsi="Arial" w:cs="Arial"/>
        <w:color w:val="333333"/>
        <w:sz w:val="15"/>
        <w:szCs w:val="15"/>
        <w:lang w:val="es-ES"/>
      </w:rPr>
      <w:t xml:space="preserve"> </w:t>
    </w:r>
    <w:r>
      <w:rPr>
        <w:rFonts w:ascii="Arial" w:hAnsi="Arial" w:cs="Arial"/>
        <w:color w:val="333333"/>
        <w:sz w:val="15"/>
        <w:szCs w:val="15"/>
        <w:lang w:val="es-ES"/>
      </w:rPr>
      <w:t>2370</w:t>
    </w:r>
    <w:r w:rsidRPr="004B7254">
      <w:rPr>
        <w:rFonts w:ascii="Arial" w:hAnsi="Arial" w:cs="Arial"/>
        <w:color w:val="333333"/>
        <w:sz w:val="15"/>
        <w:szCs w:val="15"/>
        <w:lang w:val="es-ES"/>
      </w:rPr>
      <w:t xml:space="preserve"> (C1</w:t>
    </w:r>
    <w:r>
      <w:rPr>
        <w:rFonts w:ascii="Arial" w:hAnsi="Arial" w:cs="Arial"/>
        <w:color w:val="333333"/>
        <w:sz w:val="15"/>
        <w:szCs w:val="15"/>
        <w:lang w:val="es-ES"/>
      </w:rPr>
      <w:t>425FQD</w:t>
    </w:r>
    <w:r w:rsidRPr="004B7254">
      <w:rPr>
        <w:rFonts w:ascii="Arial" w:hAnsi="Arial" w:cs="Arial"/>
        <w:color w:val="333333"/>
        <w:sz w:val="15"/>
        <w:szCs w:val="15"/>
        <w:lang w:val="es-ES"/>
      </w:rPr>
      <w:t xml:space="preserve">) </w:t>
    </w:r>
    <w:r>
      <w:rPr>
        <w:rFonts w:ascii="Arial" w:hAnsi="Arial" w:cs="Arial"/>
        <w:color w:val="333333"/>
        <w:sz w:val="15"/>
        <w:szCs w:val="15"/>
        <w:lang w:val="es-ES"/>
      </w:rPr>
      <w:t>CABA</w:t>
    </w:r>
    <w:r w:rsidRPr="004B7254">
      <w:rPr>
        <w:rFonts w:ascii="Arial" w:hAnsi="Arial" w:cs="Arial"/>
        <w:color w:val="333333"/>
        <w:sz w:val="15"/>
        <w:szCs w:val="15"/>
        <w:lang w:val="es-ES"/>
      </w:rPr>
      <w:t xml:space="preserve"> </w:t>
    </w:r>
    <w:r>
      <w:rPr>
        <w:rFonts w:ascii="Arial" w:hAnsi="Arial" w:cs="Arial"/>
        <w:color w:val="333333"/>
        <w:sz w:val="15"/>
        <w:szCs w:val="15"/>
        <w:lang w:val="es-ES"/>
      </w:rPr>
      <w:t xml:space="preserve">- </w:t>
    </w:r>
    <w:r w:rsidRPr="004B7254">
      <w:rPr>
        <w:rFonts w:ascii="Arial" w:hAnsi="Arial" w:cs="Arial"/>
        <w:color w:val="333333"/>
        <w:sz w:val="15"/>
        <w:szCs w:val="15"/>
        <w:lang w:val="es-ES"/>
      </w:rPr>
      <w:t xml:space="preserve">Argentina </w:t>
    </w:r>
    <w:r>
      <w:rPr>
        <w:rFonts w:ascii="Arial" w:hAnsi="Arial" w:cs="Arial"/>
        <w:color w:val="333333"/>
        <w:sz w:val="15"/>
        <w:szCs w:val="15"/>
        <w:lang w:val="es-ES"/>
      </w:rPr>
      <w:t>-</w:t>
    </w:r>
    <w:r w:rsidRPr="004B7254">
      <w:rPr>
        <w:rFonts w:ascii="Arial" w:hAnsi="Arial" w:cs="Arial"/>
        <w:color w:val="333333"/>
        <w:sz w:val="15"/>
        <w:szCs w:val="15"/>
        <w:lang w:val="es-ES"/>
      </w:rPr>
      <w:t xml:space="preserve"> Tel</w:t>
    </w:r>
    <w:r>
      <w:rPr>
        <w:rFonts w:ascii="Arial" w:hAnsi="Arial" w:cs="Arial"/>
        <w:color w:val="333333"/>
        <w:sz w:val="15"/>
        <w:szCs w:val="15"/>
        <w:lang w:val="es-ES"/>
      </w:rPr>
      <w:t>.</w:t>
    </w:r>
    <w:r w:rsidRPr="004B7254">
      <w:rPr>
        <w:rFonts w:ascii="Arial" w:hAnsi="Arial" w:cs="Arial"/>
        <w:color w:val="333333"/>
        <w:sz w:val="15"/>
        <w:szCs w:val="15"/>
        <w:lang w:val="es-ES"/>
      </w:rPr>
      <w:t xml:space="preserve"> (54-11) 4</w:t>
    </w:r>
    <w:r>
      <w:rPr>
        <w:rFonts w:ascii="Arial" w:hAnsi="Arial" w:cs="Arial"/>
        <w:color w:val="333333"/>
        <w:sz w:val="15"/>
        <w:szCs w:val="15"/>
        <w:lang w:val="es-ES"/>
      </w:rPr>
      <w:t>899</w:t>
    </w:r>
    <w:r w:rsidRPr="004B7254">
      <w:rPr>
        <w:rFonts w:ascii="Arial" w:hAnsi="Arial" w:cs="Arial"/>
        <w:color w:val="333333"/>
        <w:sz w:val="15"/>
        <w:szCs w:val="15"/>
        <w:lang w:val="es-ES"/>
      </w:rPr>
      <w:t>-5</w:t>
    </w:r>
    <w:r>
      <w:rPr>
        <w:rFonts w:ascii="Arial" w:hAnsi="Arial" w:cs="Arial"/>
        <w:color w:val="333333"/>
        <w:sz w:val="15"/>
        <w:szCs w:val="15"/>
        <w:lang w:val="es-ES"/>
      </w:rPr>
      <w:t>300</w:t>
    </w:r>
    <w:r w:rsidRPr="004B7254">
      <w:rPr>
        <w:rFonts w:ascii="Arial" w:hAnsi="Arial" w:cs="Arial"/>
        <w:color w:val="333333"/>
        <w:sz w:val="15"/>
        <w:szCs w:val="15"/>
        <w:lang w:val="es-ES"/>
      </w:rPr>
      <w:t xml:space="preserve"> - www.agencia.go</w:t>
    </w:r>
    <w:r>
      <w:rPr>
        <w:rFonts w:ascii="Arial" w:hAnsi="Arial" w:cs="Arial"/>
        <w:color w:val="333333"/>
        <w:sz w:val="15"/>
        <w:szCs w:val="15"/>
        <w:lang w:val="es-ES"/>
      </w:rPr>
      <w:t>b</w:t>
    </w:r>
    <w:r w:rsidRPr="004B7254">
      <w:rPr>
        <w:rFonts w:ascii="Arial" w:hAnsi="Arial" w:cs="Arial"/>
        <w:color w:val="333333"/>
        <w:sz w:val="15"/>
        <w:szCs w:val="15"/>
        <w:lang w:val="es-ES"/>
      </w:rPr>
      <w:t>.ar</w:t>
    </w:r>
  </w:p>
  <w:p w:rsidR="002C1CA3" w:rsidRPr="004B7254" w:rsidRDefault="002C1CA3">
    <w:pPr>
      <w:pStyle w:val="Piedepgina"/>
      <w:rPr>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7F9" w:rsidRDefault="002057F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ADB" w:rsidRDefault="00093ADB">
      <w:r>
        <w:separator/>
      </w:r>
    </w:p>
  </w:footnote>
  <w:footnote w:type="continuationSeparator" w:id="0">
    <w:p w:rsidR="00093ADB" w:rsidRDefault="00093A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7F9" w:rsidRDefault="002057F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CA3" w:rsidRDefault="00F01522" w:rsidP="00D17FC2">
    <w:pPr>
      <w:pStyle w:val="Encabezado"/>
      <w:jc w:val="center"/>
    </w:pPr>
    <w:r>
      <w:rPr>
        <w:noProof/>
        <w:lang w:eastAsia="es-AR"/>
      </w:rPr>
      <w:drawing>
        <wp:inline distT="0" distB="0" distL="0" distR="0">
          <wp:extent cx="2095500" cy="1228725"/>
          <wp:effectExtent l="0" t="0" r="0" b="0"/>
          <wp:docPr id="1" name="Imagen 1" descr="AgenciaViejoNue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iaViejoNue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1228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7F9" w:rsidRDefault="002057F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91135"/>
    <w:multiLevelType w:val="multilevel"/>
    <w:tmpl w:val="01044F88"/>
    <w:styleLink w:val="WWNum1"/>
    <w:lvl w:ilvl="0">
      <w:start w:val="1"/>
      <w:numFmt w:val="decimal"/>
      <w:lvlText w:val="%1."/>
      <w:lvlJc w:val="left"/>
      <w:pPr>
        <w:ind w:left="284" w:firstLine="76"/>
      </w:pPr>
      <w:rPr>
        <w:rFonts w:ascii="Times New Roman" w:eastAsia="Times New Roma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403D1AA8"/>
    <w:multiLevelType w:val="hybridMultilevel"/>
    <w:tmpl w:val="9BFCA874"/>
    <w:lvl w:ilvl="0" w:tplc="86108008">
      <w:start w:val="1"/>
      <w:numFmt w:val="bullet"/>
      <w:lvlText w:val=""/>
      <w:lvlJc w:val="left"/>
      <w:pPr>
        <w:ind w:left="1288" w:hanging="360"/>
      </w:pPr>
      <w:rPr>
        <w:rFonts w:ascii="Symbol" w:hAnsi="Symbol" w:hint="default"/>
        <w:sz w:val="16"/>
        <w:szCs w:val="16"/>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 w15:restartNumberingAfterBreak="0">
    <w:nsid w:val="416B5B7E"/>
    <w:multiLevelType w:val="hybridMultilevel"/>
    <w:tmpl w:val="F2C63424"/>
    <w:lvl w:ilvl="0" w:tplc="2C0A0001">
      <w:start w:val="5"/>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5E0670A"/>
    <w:multiLevelType w:val="hybridMultilevel"/>
    <w:tmpl w:val="7A1A9B16"/>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6CF23D81"/>
    <w:multiLevelType w:val="hybridMultilevel"/>
    <w:tmpl w:val="86669D2A"/>
    <w:lvl w:ilvl="0" w:tplc="31166138">
      <w:start w:val="1"/>
      <w:numFmt w:val="decimal"/>
      <w:lvlText w:val="%1."/>
      <w:lvlJc w:val="left"/>
      <w:pPr>
        <w:tabs>
          <w:tab w:val="num" w:pos="0"/>
        </w:tabs>
        <w:ind w:left="284" w:firstLine="76"/>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9B"/>
    <w:rsid w:val="00000F1D"/>
    <w:rsid w:val="00065394"/>
    <w:rsid w:val="000841D6"/>
    <w:rsid w:val="00090E96"/>
    <w:rsid w:val="00093ADB"/>
    <w:rsid w:val="000A5E80"/>
    <w:rsid w:val="000B4E3B"/>
    <w:rsid w:val="000E1CCC"/>
    <w:rsid w:val="001332ED"/>
    <w:rsid w:val="00141DEF"/>
    <w:rsid w:val="00145508"/>
    <w:rsid w:val="00156040"/>
    <w:rsid w:val="001A7FC3"/>
    <w:rsid w:val="001F3205"/>
    <w:rsid w:val="001F320D"/>
    <w:rsid w:val="002057F9"/>
    <w:rsid w:val="00245561"/>
    <w:rsid w:val="00245975"/>
    <w:rsid w:val="002475DF"/>
    <w:rsid w:val="00270E41"/>
    <w:rsid w:val="00291521"/>
    <w:rsid w:val="002922B7"/>
    <w:rsid w:val="002C1CA3"/>
    <w:rsid w:val="00343258"/>
    <w:rsid w:val="00362424"/>
    <w:rsid w:val="003B4178"/>
    <w:rsid w:val="003B6E4A"/>
    <w:rsid w:val="003D5521"/>
    <w:rsid w:val="0045601A"/>
    <w:rsid w:val="00460F89"/>
    <w:rsid w:val="004926ED"/>
    <w:rsid w:val="004B7254"/>
    <w:rsid w:val="004C1FD5"/>
    <w:rsid w:val="00551D76"/>
    <w:rsid w:val="00567F88"/>
    <w:rsid w:val="005861A1"/>
    <w:rsid w:val="005B1DD4"/>
    <w:rsid w:val="005F61A6"/>
    <w:rsid w:val="0062236A"/>
    <w:rsid w:val="00653900"/>
    <w:rsid w:val="006742EE"/>
    <w:rsid w:val="00696B6D"/>
    <w:rsid w:val="006F54B2"/>
    <w:rsid w:val="00705DFD"/>
    <w:rsid w:val="00721B82"/>
    <w:rsid w:val="0073165C"/>
    <w:rsid w:val="00735049"/>
    <w:rsid w:val="00745F17"/>
    <w:rsid w:val="00765D7C"/>
    <w:rsid w:val="007A5DB7"/>
    <w:rsid w:val="007D587F"/>
    <w:rsid w:val="007E3A1A"/>
    <w:rsid w:val="007F3E3A"/>
    <w:rsid w:val="008A31D5"/>
    <w:rsid w:val="008A6912"/>
    <w:rsid w:val="00932493"/>
    <w:rsid w:val="0093685D"/>
    <w:rsid w:val="00946CC8"/>
    <w:rsid w:val="009C473B"/>
    <w:rsid w:val="009D6F01"/>
    <w:rsid w:val="009E2F18"/>
    <w:rsid w:val="00A10219"/>
    <w:rsid w:val="00A1619B"/>
    <w:rsid w:val="00A35036"/>
    <w:rsid w:val="00A4404A"/>
    <w:rsid w:val="00A915E5"/>
    <w:rsid w:val="00A92EE7"/>
    <w:rsid w:val="00AC56FB"/>
    <w:rsid w:val="00B72ECB"/>
    <w:rsid w:val="00C10715"/>
    <w:rsid w:val="00C1657C"/>
    <w:rsid w:val="00C3339C"/>
    <w:rsid w:val="00C75735"/>
    <w:rsid w:val="00C75CF8"/>
    <w:rsid w:val="00C91F5F"/>
    <w:rsid w:val="00CB2E11"/>
    <w:rsid w:val="00CB7B89"/>
    <w:rsid w:val="00CE46D4"/>
    <w:rsid w:val="00CF13DF"/>
    <w:rsid w:val="00D17FC2"/>
    <w:rsid w:val="00D70653"/>
    <w:rsid w:val="00DC069B"/>
    <w:rsid w:val="00E0055C"/>
    <w:rsid w:val="00E02FE6"/>
    <w:rsid w:val="00E22C25"/>
    <w:rsid w:val="00E4257F"/>
    <w:rsid w:val="00E44EF6"/>
    <w:rsid w:val="00EB6602"/>
    <w:rsid w:val="00EB7D9E"/>
    <w:rsid w:val="00EC100F"/>
    <w:rsid w:val="00F01522"/>
    <w:rsid w:val="00F02994"/>
    <w:rsid w:val="00FA241C"/>
    <w:rsid w:val="00FA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7A0859-A741-4D35-BA11-A20673C9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D17FC2"/>
    <w:pPr>
      <w:tabs>
        <w:tab w:val="center" w:pos="4252"/>
        <w:tab w:val="right" w:pos="8504"/>
      </w:tabs>
    </w:pPr>
    <w:rPr>
      <w:sz w:val="20"/>
      <w:szCs w:val="20"/>
      <w:lang w:val="fr-FR"/>
    </w:rPr>
  </w:style>
  <w:style w:type="paragraph" w:styleId="Encabezado">
    <w:name w:val="header"/>
    <w:basedOn w:val="Normal"/>
    <w:rsid w:val="00D17FC2"/>
    <w:pPr>
      <w:tabs>
        <w:tab w:val="center" w:pos="4252"/>
        <w:tab w:val="right" w:pos="8504"/>
      </w:tabs>
    </w:pPr>
  </w:style>
  <w:style w:type="paragraph" w:customStyle="1" w:styleId="Standard">
    <w:name w:val="Standard"/>
    <w:rsid w:val="00F01522"/>
    <w:pPr>
      <w:suppressAutoHyphens/>
      <w:autoSpaceDN w:val="0"/>
      <w:spacing w:after="200" w:line="312" w:lineRule="auto"/>
      <w:jc w:val="both"/>
      <w:textAlignment w:val="baseline"/>
    </w:pPr>
    <w:rPr>
      <w:rFonts w:ascii="Arial" w:eastAsia="Arial" w:hAnsi="Arial" w:cs="Arial"/>
      <w:szCs w:val="22"/>
      <w:lang w:val="es-ES"/>
    </w:rPr>
  </w:style>
  <w:style w:type="numbering" w:customStyle="1" w:styleId="WWNum1">
    <w:name w:val="WWNum1"/>
    <w:basedOn w:val="Sinlista"/>
    <w:rsid w:val="00F0152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759</Words>
  <Characters>4179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Sr</vt:lpstr>
    </vt:vector>
  </TitlesOfParts>
  <Company>PC Service</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Alejandro Lewin</dc:creator>
  <cp:keywords/>
  <cp:lastModifiedBy>Fiama</cp:lastModifiedBy>
  <cp:revision>3</cp:revision>
  <cp:lastPrinted>2007-10-12T13:36:00Z</cp:lastPrinted>
  <dcterms:created xsi:type="dcterms:W3CDTF">2023-07-07T17:14:00Z</dcterms:created>
  <dcterms:modified xsi:type="dcterms:W3CDTF">2023-07-12T15:43:00Z</dcterms:modified>
</cp:coreProperties>
</file>